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7466" w14:textId="77777777" w:rsidR="00FC0DC9" w:rsidRPr="00F51A82" w:rsidRDefault="00FC0DC9" w:rsidP="00FC0DC9">
      <w:pPr>
        <w:jc w:val="center"/>
        <w:rPr>
          <w:rFonts w:asciiTheme="majorHAnsi" w:hAnsiTheme="majorHAnsi" w:cs="Times New Roman"/>
          <w:b/>
          <w:sz w:val="22"/>
          <w:szCs w:val="22"/>
        </w:rPr>
      </w:pPr>
      <w:proofErr w:type="spellStart"/>
      <w:r>
        <w:rPr>
          <w:rFonts w:asciiTheme="majorHAnsi" w:hAnsiTheme="majorHAnsi" w:cs="Times New Roman"/>
          <w:b/>
          <w:sz w:val="22"/>
          <w:szCs w:val="22"/>
        </w:rPr>
        <w:t>ShareNett</w:t>
      </w:r>
      <w:proofErr w:type="spellEnd"/>
      <w:r>
        <w:rPr>
          <w:rFonts w:asciiTheme="majorHAnsi" w:hAnsiTheme="majorHAnsi" w:cs="Times New Roman"/>
          <w:b/>
          <w:sz w:val="22"/>
          <w:szCs w:val="22"/>
        </w:rPr>
        <w:t xml:space="preserve"> Securities, LLC</w:t>
      </w:r>
    </w:p>
    <w:p w14:paraId="34145116" w14:textId="77777777" w:rsidR="00FC0DC9" w:rsidRPr="00F51A82" w:rsidRDefault="00FC0DC9" w:rsidP="00FC0DC9">
      <w:pPr>
        <w:jc w:val="center"/>
        <w:rPr>
          <w:rFonts w:asciiTheme="majorHAnsi" w:hAnsiTheme="majorHAnsi" w:cs="Times New Roman"/>
          <w:b/>
          <w:sz w:val="22"/>
          <w:szCs w:val="22"/>
        </w:rPr>
      </w:pPr>
      <w:r>
        <w:rPr>
          <w:rFonts w:asciiTheme="majorHAnsi" w:hAnsiTheme="majorHAnsi" w:cs="Times New Roman"/>
          <w:b/>
          <w:sz w:val="22"/>
          <w:szCs w:val="22"/>
        </w:rPr>
        <w:t>Business Continuity P</w:t>
      </w:r>
      <w:r w:rsidRPr="00F51A82">
        <w:rPr>
          <w:rFonts w:asciiTheme="majorHAnsi" w:hAnsiTheme="majorHAnsi" w:cs="Times New Roman"/>
          <w:b/>
          <w:sz w:val="22"/>
          <w:szCs w:val="22"/>
        </w:rPr>
        <w:t>lanning</w:t>
      </w:r>
    </w:p>
    <w:p w14:paraId="0A777F47" w14:textId="77777777" w:rsidR="00FC0DC9" w:rsidRPr="00F51A82" w:rsidRDefault="00FC0DC9" w:rsidP="00FC0DC9">
      <w:pPr>
        <w:jc w:val="center"/>
        <w:rPr>
          <w:rFonts w:asciiTheme="majorHAnsi" w:hAnsiTheme="majorHAnsi" w:cs="Times New Roman"/>
          <w:b/>
          <w:sz w:val="22"/>
          <w:szCs w:val="22"/>
        </w:rPr>
      </w:pPr>
      <w:r>
        <w:rPr>
          <w:rFonts w:asciiTheme="majorHAnsi" w:hAnsiTheme="majorHAnsi" w:cs="Times New Roman"/>
          <w:b/>
          <w:sz w:val="22"/>
          <w:szCs w:val="22"/>
        </w:rPr>
        <w:t>Disclosure S</w:t>
      </w:r>
      <w:r w:rsidRPr="00F51A82">
        <w:rPr>
          <w:rFonts w:asciiTheme="majorHAnsi" w:hAnsiTheme="majorHAnsi" w:cs="Times New Roman"/>
          <w:b/>
          <w:sz w:val="22"/>
          <w:szCs w:val="22"/>
        </w:rPr>
        <w:t>tatement</w:t>
      </w:r>
    </w:p>
    <w:p w14:paraId="255A88CF" w14:textId="77777777" w:rsidR="00FC0DC9" w:rsidRPr="00F51A82" w:rsidRDefault="00FC0DC9" w:rsidP="00FC0DC9">
      <w:pPr>
        <w:jc w:val="center"/>
        <w:rPr>
          <w:rFonts w:asciiTheme="majorHAnsi" w:hAnsiTheme="majorHAnsi" w:cs="Times New Roman"/>
          <w:b/>
          <w:sz w:val="22"/>
          <w:szCs w:val="22"/>
        </w:rPr>
      </w:pPr>
    </w:p>
    <w:p w14:paraId="1D3F21A7" w14:textId="77777777" w:rsidR="00FC0DC9" w:rsidRPr="00F51A82" w:rsidRDefault="00FC0DC9" w:rsidP="00FC0DC9">
      <w:pPr>
        <w:jc w:val="both"/>
        <w:rPr>
          <w:rFonts w:asciiTheme="majorHAnsi" w:hAnsiTheme="majorHAnsi" w:cs="Times New Roman"/>
          <w:sz w:val="22"/>
          <w:szCs w:val="22"/>
        </w:rPr>
      </w:pPr>
    </w:p>
    <w:p w14:paraId="19FABCD7" w14:textId="77777777" w:rsidR="00FC0DC9" w:rsidRPr="00F51A82" w:rsidRDefault="00FC0DC9" w:rsidP="00FC0DC9">
      <w:pPr>
        <w:jc w:val="both"/>
        <w:rPr>
          <w:rFonts w:asciiTheme="majorHAnsi" w:hAnsiTheme="majorHAnsi" w:cs="Times New Roman"/>
          <w:sz w:val="22"/>
          <w:szCs w:val="22"/>
        </w:rPr>
      </w:pPr>
      <w:r>
        <w:rPr>
          <w:rFonts w:asciiTheme="majorHAnsi" w:hAnsiTheme="majorHAnsi" w:cs="Times New Roman"/>
          <w:sz w:val="22"/>
          <w:szCs w:val="22"/>
        </w:rPr>
        <w:tab/>
      </w:r>
      <w:proofErr w:type="spellStart"/>
      <w:r>
        <w:rPr>
          <w:rFonts w:asciiTheme="majorHAnsi" w:hAnsiTheme="majorHAnsi" w:cs="Times New Roman"/>
          <w:sz w:val="22"/>
          <w:szCs w:val="22"/>
        </w:rPr>
        <w:t>ShareNett</w:t>
      </w:r>
      <w:proofErr w:type="spellEnd"/>
      <w:r w:rsidRPr="00F51A82">
        <w:rPr>
          <w:rFonts w:asciiTheme="majorHAnsi" w:hAnsiTheme="majorHAnsi" w:cs="Times New Roman"/>
          <w:sz w:val="22"/>
          <w:szCs w:val="22"/>
        </w:rPr>
        <w:t xml:space="preserve"> LLC (“</w:t>
      </w:r>
      <w:proofErr w:type="spellStart"/>
      <w:r>
        <w:rPr>
          <w:rFonts w:asciiTheme="majorHAnsi" w:hAnsiTheme="majorHAnsi" w:cs="Times New Roman"/>
          <w:sz w:val="22"/>
          <w:szCs w:val="22"/>
          <w:u w:val="single"/>
        </w:rPr>
        <w:t>ShareNett</w:t>
      </w:r>
      <w:proofErr w:type="spellEnd"/>
      <w:r w:rsidRPr="00F51A82">
        <w:rPr>
          <w:rFonts w:asciiTheme="majorHAnsi" w:hAnsiTheme="majorHAnsi" w:cs="Times New Roman"/>
          <w:sz w:val="22"/>
          <w:szCs w:val="22"/>
        </w:rPr>
        <w:t>” or the “</w:t>
      </w:r>
      <w:r w:rsidRPr="00F51A82">
        <w:rPr>
          <w:rFonts w:asciiTheme="majorHAnsi" w:hAnsiTheme="majorHAnsi" w:cs="Times New Roman"/>
          <w:sz w:val="22"/>
          <w:szCs w:val="22"/>
          <w:u w:val="single"/>
        </w:rPr>
        <w:t>Firm</w:t>
      </w:r>
      <w:r w:rsidRPr="00F51A82">
        <w:rPr>
          <w:rFonts w:asciiTheme="majorHAnsi" w:hAnsiTheme="majorHAnsi" w:cs="Times New Roman"/>
          <w:sz w:val="22"/>
          <w:szCs w:val="22"/>
        </w:rPr>
        <w:t>”) is committed to safeguarding the interests of our subscribers in the event of an emergency or significant business disruption.  This Business Continuity Plan (the “</w:t>
      </w:r>
      <w:r w:rsidRPr="005957C4">
        <w:rPr>
          <w:rFonts w:asciiTheme="majorHAnsi" w:hAnsiTheme="majorHAnsi" w:cs="Times New Roman"/>
          <w:sz w:val="22"/>
          <w:szCs w:val="22"/>
          <w:u w:val="single"/>
        </w:rPr>
        <w:t>BCP</w:t>
      </w:r>
      <w:r w:rsidRPr="00F51A82">
        <w:rPr>
          <w:rFonts w:asciiTheme="majorHAnsi" w:hAnsiTheme="majorHAnsi" w:cs="Times New Roman"/>
          <w:sz w:val="22"/>
          <w:szCs w:val="22"/>
        </w:rPr>
        <w:t>”) Disclosure summarizes the Firm’s efforts to mitigate risks inherent with unforeseen business interruptions.  The Firm’s comprehensive business continuity strategy is designed to enable us to meet our existing obligations to our subscribers even in the event of an emergency or significant business disruption (“</w:t>
      </w:r>
      <w:r w:rsidRPr="00F51A82">
        <w:rPr>
          <w:rFonts w:asciiTheme="majorHAnsi" w:hAnsiTheme="majorHAnsi" w:cs="Times New Roman"/>
          <w:sz w:val="22"/>
          <w:szCs w:val="22"/>
          <w:u w:val="single"/>
        </w:rPr>
        <w:t>SBD</w:t>
      </w:r>
      <w:r w:rsidRPr="00F51A82">
        <w:rPr>
          <w:rFonts w:asciiTheme="majorHAnsi" w:hAnsiTheme="majorHAnsi" w:cs="Times New Roman"/>
          <w:sz w:val="22"/>
          <w:szCs w:val="22"/>
        </w:rPr>
        <w:t>”).  This BCP is intended to comply with the rules promulgated by the Financial Industry Regulatory Authority (“</w:t>
      </w:r>
      <w:r w:rsidRPr="00F51A82">
        <w:rPr>
          <w:rFonts w:asciiTheme="majorHAnsi" w:hAnsiTheme="majorHAnsi" w:cs="Times New Roman"/>
          <w:sz w:val="22"/>
          <w:szCs w:val="22"/>
          <w:u w:val="single"/>
        </w:rPr>
        <w:t>FINRA</w:t>
      </w:r>
      <w:r w:rsidRPr="00F51A82">
        <w:rPr>
          <w:rFonts w:asciiTheme="majorHAnsi" w:hAnsiTheme="majorHAnsi" w:cs="Times New Roman"/>
          <w:sz w:val="22"/>
          <w:szCs w:val="22"/>
        </w:rPr>
        <w:t>”).</w:t>
      </w:r>
    </w:p>
    <w:p w14:paraId="432B4E49" w14:textId="77777777" w:rsidR="00FC0DC9" w:rsidRPr="00F51A82" w:rsidRDefault="00FC0DC9" w:rsidP="00FC0DC9">
      <w:pPr>
        <w:jc w:val="both"/>
        <w:rPr>
          <w:rFonts w:asciiTheme="majorHAnsi" w:hAnsiTheme="majorHAnsi" w:cs="Times New Roman"/>
          <w:sz w:val="22"/>
          <w:szCs w:val="22"/>
        </w:rPr>
      </w:pPr>
    </w:p>
    <w:p w14:paraId="6F67199D" w14:textId="77777777" w:rsidR="00FC0DC9" w:rsidRPr="00F51A82" w:rsidRDefault="00FC0DC9" w:rsidP="00FC0DC9">
      <w:pPr>
        <w:jc w:val="both"/>
        <w:rPr>
          <w:rFonts w:asciiTheme="majorHAnsi" w:hAnsiTheme="majorHAnsi" w:cs="Times New Roman"/>
          <w:sz w:val="22"/>
          <w:szCs w:val="22"/>
        </w:rPr>
      </w:pPr>
      <w:r>
        <w:rPr>
          <w:rFonts w:asciiTheme="majorHAnsi" w:hAnsiTheme="majorHAnsi" w:cs="Times New Roman"/>
          <w:sz w:val="22"/>
          <w:szCs w:val="22"/>
        </w:rPr>
        <w:tab/>
      </w:r>
      <w:r w:rsidRPr="00F51A82">
        <w:rPr>
          <w:rFonts w:asciiTheme="majorHAnsi" w:hAnsiTheme="majorHAnsi" w:cs="Times New Roman"/>
          <w:sz w:val="22"/>
          <w:szCs w:val="22"/>
        </w:rPr>
        <w:t xml:space="preserve">The Firm’s policy is to respond to significant business disruptions by safeguarding employees’ lives and firm property, making a financial and operational assessment, quickly </w:t>
      </w:r>
      <w:proofErr w:type="gramStart"/>
      <w:r w:rsidRPr="00F51A82">
        <w:rPr>
          <w:rFonts w:asciiTheme="majorHAnsi" w:hAnsiTheme="majorHAnsi" w:cs="Times New Roman"/>
          <w:sz w:val="22"/>
          <w:szCs w:val="22"/>
        </w:rPr>
        <w:t>recovering</w:t>
      </w:r>
      <w:proofErr w:type="gramEnd"/>
      <w:r w:rsidRPr="00F51A82">
        <w:rPr>
          <w:rFonts w:asciiTheme="majorHAnsi" w:hAnsiTheme="majorHAnsi" w:cs="Times New Roman"/>
          <w:sz w:val="22"/>
          <w:szCs w:val="22"/>
        </w:rPr>
        <w:t xml:space="preserve"> and resuming operations, protecting all of the Firm’s books and records, and ensuring that our clients can continue to transact business. Examples of potential scenarios that might cause some changes to our regular business operations:</w:t>
      </w:r>
    </w:p>
    <w:p w14:paraId="614E86BB" w14:textId="77777777" w:rsidR="00FC0DC9" w:rsidRPr="00F51A82" w:rsidRDefault="00FC0DC9" w:rsidP="00FC0DC9">
      <w:pPr>
        <w:jc w:val="both"/>
        <w:rPr>
          <w:rFonts w:asciiTheme="majorHAnsi" w:hAnsiTheme="majorHAnsi" w:cs="Times New Roman"/>
          <w:sz w:val="22"/>
          <w:szCs w:val="22"/>
        </w:rPr>
      </w:pPr>
    </w:p>
    <w:p w14:paraId="1C93A6F3" w14:textId="77777777" w:rsidR="00FC0DC9" w:rsidRPr="00F51A82" w:rsidRDefault="00FC0DC9" w:rsidP="00FC0DC9">
      <w:pPr>
        <w:pStyle w:val="ListParagraph"/>
        <w:numPr>
          <w:ilvl w:val="2"/>
          <w:numId w:val="4"/>
        </w:numPr>
        <w:ind w:left="1170"/>
        <w:jc w:val="both"/>
        <w:rPr>
          <w:rFonts w:asciiTheme="majorHAnsi" w:hAnsiTheme="majorHAnsi" w:cs="Times New Roman"/>
          <w:sz w:val="22"/>
          <w:szCs w:val="22"/>
        </w:rPr>
      </w:pPr>
      <w:r w:rsidRPr="00F51A82">
        <w:rPr>
          <w:rFonts w:asciiTheme="majorHAnsi" w:hAnsiTheme="majorHAnsi" w:cs="Times New Roman"/>
          <w:sz w:val="22"/>
          <w:szCs w:val="22"/>
        </w:rPr>
        <w:t xml:space="preserve">In the event </w:t>
      </w:r>
      <w:proofErr w:type="gramStart"/>
      <w:r w:rsidRPr="00F51A82">
        <w:rPr>
          <w:rFonts w:asciiTheme="majorHAnsi" w:hAnsiTheme="majorHAnsi" w:cs="Times New Roman"/>
          <w:sz w:val="22"/>
          <w:szCs w:val="22"/>
        </w:rPr>
        <w:t>a</w:t>
      </w:r>
      <w:proofErr w:type="gramEnd"/>
      <w:r w:rsidRPr="00F51A82">
        <w:rPr>
          <w:rFonts w:asciiTheme="majorHAnsi" w:hAnsiTheme="majorHAnsi" w:cs="Times New Roman"/>
          <w:sz w:val="22"/>
          <w:szCs w:val="22"/>
        </w:rPr>
        <w:t xml:space="preserve"> SBD of any type which affects our primary office in </w:t>
      </w:r>
      <w:r>
        <w:rPr>
          <w:rFonts w:asciiTheme="majorHAnsi" w:hAnsiTheme="majorHAnsi" w:cs="Times New Roman"/>
          <w:sz w:val="22"/>
          <w:szCs w:val="22"/>
        </w:rPr>
        <w:t>New York</w:t>
      </w:r>
      <w:r w:rsidRPr="00F51A82">
        <w:rPr>
          <w:rFonts w:asciiTheme="majorHAnsi" w:hAnsiTheme="majorHAnsi" w:cs="Times New Roman"/>
          <w:sz w:val="22"/>
          <w:szCs w:val="22"/>
        </w:rPr>
        <w:t>, we will transfer our business operations to one or more remote sites in the United States.</w:t>
      </w:r>
    </w:p>
    <w:p w14:paraId="67788B25" w14:textId="77777777" w:rsidR="00FC0DC9" w:rsidRPr="00F51A82" w:rsidRDefault="00FC0DC9" w:rsidP="00FC0DC9">
      <w:pPr>
        <w:pStyle w:val="ListParagraph"/>
        <w:ind w:left="1170"/>
        <w:jc w:val="both"/>
        <w:rPr>
          <w:rFonts w:asciiTheme="majorHAnsi" w:hAnsiTheme="majorHAnsi" w:cs="Times New Roman"/>
          <w:sz w:val="22"/>
          <w:szCs w:val="22"/>
        </w:rPr>
      </w:pPr>
    </w:p>
    <w:p w14:paraId="167F069A" w14:textId="77777777" w:rsidR="00FC0DC9" w:rsidRPr="00F51A82" w:rsidRDefault="00FC0DC9" w:rsidP="00FC0DC9">
      <w:pPr>
        <w:pStyle w:val="ListParagraph"/>
        <w:numPr>
          <w:ilvl w:val="2"/>
          <w:numId w:val="4"/>
        </w:numPr>
        <w:ind w:left="1170"/>
        <w:jc w:val="both"/>
        <w:rPr>
          <w:rFonts w:asciiTheme="majorHAnsi" w:hAnsiTheme="majorHAnsi" w:cs="Times New Roman"/>
          <w:sz w:val="22"/>
          <w:szCs w:val="22"/>
        </w:rPr>
      </w:pPr>
      <w:r w:rsidRPr="00F51A82">
        <w:rPr>
          <w:rFonts w:asciiTheme="majorHAnsi" w:hAnsiTheme="majorHAnsi" w:cs="Times New Roman"/>
          <w:sz w:val="22"/>
          <w:szCs w:val="22"/>
        </w:rPr>
        <w:t>We do not anticipate that power outages at our primary office will require us to shut down our business.</w:t>
      </w:r>
    </w:p>
    <w:p w14:paraId="222CF499" w14:textId="77777777" w:rsidR="00FC0DC9" w:rsidRPr="00F51A82" w:rsidRDefault="00FC0DC9" w:rsidP="00FC0DC9">
      <w:pPr>
        <w:jc w:val="both"/>
        <w:rPr>
          <w:rFonts w:asciiTheme="majorHAnsi" w:hAnsiTheme="majorHAnsi" w:cs="Times New Roman"/>
          <w:sz w:val="22"/>
          <w:szCs w:val="22"/>
        </w:rPr>
      </w:pPr>
    </w:p>
    <w:p w14:paraId="31B06354" w14:textId="77777777" w:rsidR="00FC0DC9" w:rsidRPr="00F51A82" w:rsidRDefault="00FC0DC9" w:rsidP="00FC0DC9">
      <w:pPr>
        <w:ind w:firstLine="720"/>
        <w:jc w:val="both"/>
        <w:rPr>
          <w:rFonts w:asciiTheme="majorHAnsi" w:hAnsiTheme="majorHAnsi" w:cs="Times New Roman"/>
          <w:sz w:val="22"/>
          <w:szCs w:val="22"/>
        </w:rPr>
      </w:pPr>
      <w:r w:rsidRPr="00F51A82">
        <w:rPr>
          <w:rFonts w:asciiTheme="majorHAnsi" w:hAnsiTheme="majorHAnsi" w:cs="Times New Roman"/>
          <w:sz w:val="22"/>
          <w:szCs w:val="22"/>
        </w:rPr>
        <w:t>No contingency plan can eliminate all risk of service interruption or temporarily impaired access to the Firm. We will evaluate and revise our BCP to address risks to the extent possible. In developing our BCP, we have made certain assumptions regarding accessibility and availability of alternative facilities, the ability of a sufficient number of our personnel to man our systems, and external organizations including securities markets and government agencies being operational. If these assumptions are not valid under particular circumstances, we will evaluate possibilities for minimizing the disruption to services as feasible at that time.</w:t>
      </w:r>
    </w:p>
    <w:p w14:paraId="56DF6DDF" w14:textId="77777777" w:rsidR="00FC0DC9" w:rsidRPr="00F51A82" w:rsidRDefault="00FC0DC9" w:rsidP="00FC0DC9">
      <w:pPr>
        <w:jc w:val="both"/>
        <w:rPr>
          <w:rFonts w:asciiTheme="majorHAnsi" w:hAnsiTheme="majorHAnsi" w:cs="Times New Roman"/>
          <w:sz w:val="22"/>
          <w:szCs w:val="22"/>
        </w:rPr>
      </w:pPr>
    </w:p>
    <w:p w14:paraId="5486F47A" w14:textId="77777777" w:rsidR="00FC0DC9" w:rsidRPr="00F51A82" w:rsidRDefault="00FC0DC9" w:rsidP="00FC0DC9">
      <w:pPr>
        <w:jc w:val="both"/>
        <w:rPr>
          <w:rFonts w:asciiTheme="majorHAnsi" w:hAnsiTheme="majorHAnsi" w:cs="Times New Roman"/>
          <w:sz w:val="22"/>
          <w:szCs w:val="22"/>
        </w:rPr>
      </w:pPr>
      <w:r>
        <w:rPr>
          <w:rFonts w:asciiTheme="majorHAnsi" w:hAnsiTheme="majorHAnsi" w:cs="Times New Roman"/>
          <w:sz w:val="22"/>
          <w:szCs w:val="22"/>
        </w:rPr>
        <w:tab/>
      </w:r>
      <w:r w:rsidRPr="00F51A82">
        <w:rPr>
          <w:rFonts w:asciiTheme="majorHAnsi" w:hAnsiTheme="majorHAnsi" w:cs="Times New Roman"/>
          <w:sz w:val="22"/>
          <w:szCs w:val="22"/>
        </w:rPr>
        <w:t xml:space="preserve">We will update the BCP as needed in the event of changes to our business processes, </w:t>
      </w:r>
      <w:proofErr w:type="gramStart"/>
      <w:r w:rsidRPr="00F51A82">
        <w:rPr>
          <w:rFonts w:asciiTheme="majorHAnsi" w:hAnsiTheme="majorHAnsi" w:cs="Times New Roman"/>
          <w:sz w:val="22"/>
          <w:szCs w:val="22"/>
        </w:rPr>
        <w:t>technology</w:t>
      </w:r>
      <w:proofErr w:type="gramEnd"/>
      <w:r w:rsidRPr="00F51A82">
        <w:rPr>
          <w:rFonts w:asciiTheme="majorHAnsi" w:hAnsiTheme="majorHAnsi" w:cs="Times New Roman"/>
          <w:sz w:val="22"/>
          <w:szCs w:val="22"/>
        </w:rPr>
        <w:t xml:space="preserve"> and staff. We will continue to post updated information on our website. Users may also obtain our current BCP summary by submitting a written request to: </w:t>
      </w:r>
      <w:proofErr w:type="spellStart"/>
      <w:r>
        <w:rPr>
          <w:rFonts w:asciiTheme="majorHAnsi" w:hAnsiTheme="majorHAnsi" w:cs="Times New Roman"/>
          <w:sz w:val="22"/>
          <w:szCs w:val="22"/>
        </w:rPr>
        <w:t>ShareNett</w:t>
      </w:r>
      <w:proofErr w:type="spellEnd"/>
      <w:r>
        <w:rPr>
          <w:rFonts w:asciiTheme="majorHAnsi" w:hAnsiTheme="majorHAnsi" w:cs="Times New Roman"/>
          <w:sz w:val="22"/>
          <w:szCs w:val="22"/>
        </w:rPr>
        <w:t xml:space="preserve"> Securities,</w:t>
      </w:r>
      <w:r w:rsidRPr="00F51A82">
        <w:rPr>
          <w:rFonts w:asciiTheme="majorHAnsi" w:hAnsiTheme="majorHAnsi" w:cs="Times New Roman"/>
          <w:sz w:val="22"/>
          <w:szCs w:val="22"/>
        </w:rPr>
        <w:t xml:space="preserve"> LLC</w:t>
      </w:r>
      <w:r>
        <w:rPr>
          <w:rFonts w:asciiTheme="majorHAnsi" w:hAnsiTheme="majorHAnsi" w:cs="Times New Roman"/>
          <w:sz w:val="22"/>
          <w:szCs w:val="22"/>
        </w:rPr>
        <w:t>,</w:t>
      </w:r>
      <w:r w:rsidRPr="00F51A82">
        <w:rPr>
          <w:rFonts w:asciiTheme="majorHAnsi" w:hAnsiTheme="majorHAnsi" w:cs="Times New Roman"/>
          <w:sz w:val="22"/>
          <w:szCs w:val="22"/>
        </w:rPr>
        <w:t xml:space="preserve"> ATTN: Business Continuity Plan, </w:t>
      </w:r>
      <w:r>
        <w:rPr>
          <w:rFonts w:asciiTheme="majorHAnsi" w:hAnsiTheme="majorHAnsi" w:cs="Times New Roman"/>
          <w:sz w:val="22"/>
          <w:szCs w:val="22"/>
        </w:rPr>
        <w:t>100 Wall Street, 5</w:t>
      </w:r>
      <w:r w:rsidRPr="00FF2B75">
        <w:rPr>
          <w:rFonts w:asciiTheme="majorHAnsi" w:hAnsiTheme="majorHAnsi" w:cs="Times New Roman"/>
          <w:sz w:val="22"/>
          <w:szCs w:val="22"/>
          <w:vertAlign w:val="superscript"/>
        </w:rPr>
        <w:t>th</w:t>
      </w:r>
      <w:r>
        <w:rPr>
          <w:rFonts w:asciiTheme="majorHAnsi" w:hAnsiTheme="majorHAnsi" w:cs="Times New Roman"/>
          <w:sz w:val="22"/>
          <w:szCs w:val="22"/>
        </w:rPr>
        <w:t xml:space="preserve"> Floor, New York, NY 10005</w:t>
      </w:r>
      <w:r w:rsidRPr="00477759">
        <w:rPr>
          <w:rFonts w:asciiTheme="majorHAnsi" w:hAnsiTheme="majorHAnsi" w:cs="Times New Roman"/>
          <w:sz w:val="22"/>
          <w:szCs w:val="22"/>
        </w:rPr>
        <w:t>.</w:t>
      </w:r>
    </w:p>
    <w:p w14:paraId="585DDECF" w14:textId="77777777" w:rsidR="00FC0DC9" w:rsidRPr="00F51A82" w:rsidRDefault="00FC0DC9" w:rsidP="00FC0DC9">
      <w:pPr>
        <w:jc w:val="both"/>
        <w:rPr>
          <w:rFonts w:asciiTheme="majorHAnsi" w:hAnsiTheme="majorHAnsi" w:cs="Times New Roman"/>
          <w:sz w:val="22"/>
          <w:szCs w:val="22"/>
        </w:rPr>
      </w:pPr>
    </w:p>
    <w:p w14:paraId="24399A05" w14:textId="77777777" w:rsidR="00FC0DC9" w:rsidRPr="00F51A82" w:rsidRDefault="00FC0DC9" w:rsidP="00FC0DC9">
      <w:pPr>
        <w:jc w:val="both"/>
        <w:rPr>
          <w:rFonts w:asciiTheme="majorHAnsi" w:hAnsiTheme="majorHAnsi" w:cs="Times New Roman"/>
          <w:b/>
          <w:sz w:val="22"/>
          <w:szCs w:val="22"/>
        </w:rPr>
      </w:pPr>
      <w:r w:rsidRPr="00F51A82">
        <w:rPr>
          <w:rFonts w:asciiTheme="majorHAnsi" w:hAnsiTheme="majorHAnsi" w:cs="Times New Roman"/>
          <w:b/>
          <w:sz w:val="22"/>
          <w:szCs w:val="22"/>
        </w:rPr>
        <w:t>Disclaimer</w:t>
      </w:r>
    </w:p>
    <w:p w14:paraId="50D67E18" w14:textId="77777777" w:rsidR="00FC0DC9" w:rsidRPr="00F51A82" w:rsidRDefault="00FC0DC9" w:rsidP="00FC0DC9">
      <w:pPr>
        <w:jc w:val="both"/>
        <w:rPr>
          <w:rFonts w:asciiTheme="majorHAnsi" w:hAnsiTheme="majorHAnsi" w:cs="Times New Roman"/>
          <w:sz w:val="22"/>
          <w:szCs w:val="22"/>
        </w:rPr>
      </w:pPr>
    </w:p>
    <w:p w14:paraId="4FB0351C" w14:textId="77777777" w:rsidR="00FC0DC9" w:rsidRPr="00F51A82" w:rsidRDefault="00FC0DC9" w:rsidP="00FC0DC9">
      <w:pPr>
        <w:jc w:val="both"/>
        <w:rPr>
          <w:rFonts w:asciiTheme="majorHAnsi" w:hAnsiTheme="majorHAnsi" w:cs="Times New Roman"/>
          <w:sz w:val="22"/>
          <w:szCs w:val="22"/>
        </w:rPr>
      </w:pPr>
      <w:r>
        <w:rPr>
          <w:rFonts w:asciiTheme="majorHAnsi" w:hAnsiTheme="majorHAnsi" w:cs="Times New Roman"/>
          <w:sz w:val="22"/>
          <w:szCs w:val="22"/>
        </w:rPr>
        <w:tab/>
      </w:r>
      <w:r w:rsidRPr="00F51A82">
        <w:rPr>
          <w:rFonts w:asciiTheme="majorHAnsi" w:hAnsiTheme="majorHAnsi" w:cs="Times New Roman"/>
          <w:sz w:val="22"/>
          <w:szCs w:val="22"/>
        </w:rPr>
        <w:t xml:space="preserve">The Firm’s comprehensive business continuity strategy is designed to enable us to meet our existing obligations to our clients even in the event of an emergency or significant business disruption; </w:t>
      </w:r>
      <w:proofErr w:type="gramStart"/>
      <w:r w:rsidRPr="00F51A82">
        <w:rPr>
          <w:rFonts w:asciiTheme="majorHAnsi" w:hAnsiTheme="majorHAnsi" w:cs="Times New Roman"/>
          <w:sz w:val="22"/>
          <w:szCs w:val="22"/>
        </w:rPr>
        <w:t>however</w:t>
      </w:r>
      <w:proofErr w:type="gramEnd"/>
      <w:r w:rsidRPr="00F51A82">
        <w:rPr>
          <w:rFonts w:asciiTheme="majorHAnsi" w:hAnsiTheme="majorHAnsi" w:cs="Times New Roman"/>
          <w:sz w:val="22"/>
          <w:szCs w:val="22"/>
        </w:rPr>
        <w:t xml:space="preserve"> it is not without limits. The BCP is designed to work in many different emergency situations, but these events are, by their nature, unpredictable and it is impossible to anticipate every scenario that could cause a business disruption.</w:t>
      </w:r>
    </w:p>
    <w:p w14:paraId="35F25D92" w14:textId="77777777" w:rsidR="00FC0DC9" w:rsidRPr="00F51A82" w:rsidRDefault="00FC0DC9" w:rsidP="00FC0DC9">
      <w:pPr>
        <w:jc w:val="both"/>
        <w:rPr>
          <w:rFonts w:asciiTheme="majorHAnsi" w:hAnsiTheme="majorHAnsi" w:cs="Times New Roman"/>
          <w:sz w:val="22"/>
          <w:szCs w:val="22"/>
        </w:rPr>
      </w:pPr>
    </w:p>
    <w:p w14:paraId="2DFC812F" w14:textId="77777777" w:rsidR="00FC0DC9" w:rsidRPr="00F51A82" w:rsidRDefault="00FC0DC9" w:rsidP="00FC0DC9">
      <w:pPr>
        <w:ind w:firstLine="720"/>
        <w:jc w:val="both"/>
        <w:rPr>
          <w:rFonts w:asciiTheme="majorHAnsi" w:hAnsiTheme="majorHAnsi" w:cs="Times New Roman"/>
          <w:sz w:val="22"/>
          <w:szCs w:val="22"/>
        </w:rPr>
      </w:pPr>
      <w:r w:rsidRPr="00F51A82">
        <w:rPr>
          <w:rFonts w:asciiTheme="majorHAnsi" w:hAnsiTheme="majorHAnsi" w:cs="Times New Roman"/>
          <w:sz w:val="22"/>
          <w:szCs w:val="22"/>
        </w:rPr>
        <w:t xml:space="preserve">Although we are confident in our own preparedness, </w:t>
      </w:r>
      <w:proofErr w:type="spellStart"/>
      <w:r>
        <w:rPr>
          <w:rFonts w:asciiTheme="majorHAnsi" w:hAnsiTheme="majorHAnsi" w:cs="Times New Roman"/>
          <w:sz w:val="22"/>
          <w:szCs w:val="22"/>
        </w:rPr>
        <w:t>ShareNett</w:t>
      </w:r>
      <w:proofErr w:type="spellEnd"/>
      <w:r w:rsidRPr="00F51A82">
        <w:rPr>
          <w:rFonts w:asciiTheme="majorHAnsi" w:hAnsiTheme="majorHAnsi" w:cs="Times New Roman"/>
          <w:sz w:val="22"/>
          <w:szCs w:val="22"/>
        </w:rPr>
        <w:t xml:space="preserve"> has no control over the various entities that we must rely upon in the event of an emergency. Our BCP is tested periodically to ensure </w:t>
      </w:r>
      <w:r w:rsidRPr="00F51A82">
        <w:rPr>
          <w:rFonts w:asciiTheme="majorHAnsi" w:hAnsiTheme="majorHAnsi" w:cs="Times New Roman"/>
          <w:sz w:val="22"/>
          <w:szCs w:val="22"/>
        </w:rPr>
        <w:lastRenderedPageBreak/>
        <w:t>readiness. However, such tests may not be able to replicate the actual conditions we experience in a real emergency.</w:t>
      </w:r>
    </w:p>
    <w:p w14:paraId="4AF4A511" w14:textId="77777777" w:rsidR="00FC0DC9" w:rsidRPr="00F51A82" w:rsidRDefault="00FC0DC9" w:rsidP="00FC0DC9">
      <w:pPr>
        <w:jc w:val="both"/>
        <w:rPr>
          <w:rFonts w:asciiTheme="majorHAnsi" w:hAnsiTheme="majorHAnsi" w:cs="Times New Roman"/>
          <w:sz w:val="22"/>
          <w:szCs w:val="22"/>
        </w:rPr>
      </w:pPr>
    </w:p>
    <w:p w14:paraId="266D5179" w14:textId="77777777" w:rsidR="00FC0DC9" w:rsidRPr="00F51A82" w:rsidRDefault="00FC0DC9" w:rsidP="00FC0DC9">
      <w:pPr>
        <w:jc w:val="both"/>
        <w:rPr>
          <w:rFonts w:asciiTheme="majorHAnsi" w:hAnsiTheme="majorHAnsi" w:cs="Times New Roman"/>
          <w:sz w:val="22"/>
          <w:szCs w:val="22"/>
        </w:rPr>
      </w:pPr>
      <w:r>
        <w:rPr>
          <w:rFonts w:asciiTheme="majorHAnsi" w:hAnsiTheme="majorHAnsi" w:cs="Times New Roman"/>
          <w:sz w:val="22"/>
          <w:szCs w:val="22"/>
        </w:rPr>
        <w:tab/>
      </w:r>
      <w:r w:rsidRPr="00F51A82">
        <w:rPr>
          <w:rFonts w:asciiTheme="majorHAnsi" w:hAnsiTheme="majorHAnsi" w:cs="Times New Roman"/>
          <w:sz w:val="22"/>
          <w:szCs w:val="22"/>
        </w:rPr>
        <w:t xml:space="preserve">This BCP disclosure statement is subject to change without notice. In the event that the BCP or the BCP disclosure statement is modified, the updated document will be promptly posted on the </w:t>
      </w:r>
      <w:proofErr w:type="spellStart"/>
      <w:r>
        <w:rPr>
          <w:rFonts w:asciiTheme="majorHAnsi" w:hAnsiTheme="majorHAnsi" w:cs="Times New Roman"/>
          <w:sz w:val="22"/>
          <w:szCs w:val="22"/>
        </w:rPr>
        <w:t>ShareNett</w:t>
      </w:r>
      <w:proofErr w:type="spellEnd"/>
      <w:r w:rsidRPr="00F51A82">
        <w:rPr>
          <w:rFonts w:asciiTheme="majorHAnsi" w:hAnsiTheme="majorHAnsi" w:cs="Times New Roman"/>
          <w:sz w:val="22"/>
          <w:szCs w:val="22"/>
        </w:rPr>
        <w:t xml:space="preserve"> internet website. Alternatively, clients of the Firm may obtain an updated hard copy of the BCP disclosure statement upon request. The information contained in this BCP disclosure statement is provided by </w:t>
      </w:r>
      <w:proofErr w:type="spellStart"/>
      <w:r>
        <w:rPr>
          <w:rFonts w:asciiTheme="majorHAnsi" w:hAnsiTheme="majorHAnsi" w:cs="Times New Roman"/>
          <w:sz w:val="22"/>
          <w:szCs w:val="22"/>
        </w:rPr>
        <w:t>ShareNett</w:t>
      </w:r>
      <w:proofErr w:type="spellEnd"/>
      <w:r w:rsidRPr="00F51A82">
        <w:rPr>
          <w:rFonts w:asciiTheme="majorHAnsi" w:hAnsiTheme="majorHAnsi" w:cs="Times New Roman"/>
          <w:sz w:val="22"/>
          <w:szCs w:val="22"/>
        </w:rPr>
        <w:t xml:space="preserve"> for informational purposes only. Nothing contained herein shall be construed to amend, </w:t>
      </w:r>
      <w:proofErr w:type="gramStart"/>
      <w:r w:rsidRPr="00F51A82">
        <w:rPr>
          <w:rFonts w:asciiTheme="majorHAnsi" w:hAnsiTheme="majorHAnsi" w:cs="Times New Roman"/>
          <w:sz w:val="22"/>
          <w:szCs w:val="22"/>
        </w:rPr>
        <w:t>supplement</w:t>
      </w:r>
      <w:proofErr w:type="gramEnd"/>
      <w:r w:rsidRPr="00F51A82">
        <w:rPr>
          <w:rFonts w:asciiTheme="majorHAnsi" w:hAnsiTheme="majorHAnsi" w:cs="Times New Roman"/>
          <w:sz w:val="22"/>
          <w:szCs w:val="22"/>
        </w:rPr>
        <w:t xml:space="preserve"> or otherwise modify any of the terms and conditions set forth in any client agreement between you and </w:t>
      </w:r>
      <w:proofErr w:type="spellStart"/>
      <w:r>
        <w:rPr>
          <w:rFonts w:asciiTheme="majorHAnsi" w:hAnsiTheme="majorHAnsi" w:cs="Times New Roman"/>
          <w:sz w:val="22"/>
          <w:szCs w:val="22"/>
        </w:rPr>
        <w:t>ShareNett</w:t>
      </w:r>
      <w:proofErr w:type="spellEnd"/>
      <w:r w:rsidRPr="00F51A82">
        <w:rPr>
          <w:rFonts w:asciiTheme="majorHAnsi" w:hAnsiTheme="majorHAnsi" w:cs="Times New Roman"/>
          <w:sz w:val="22"/>
          <w:szCs w:val="22"/>
        </w:rPr>
        <w:t>.</w:t>
      </w:r>
    </w:p>
    <w:p w14:paraId="735FEE6B" w14:textId="77777777" w:rsidR="004071CA" w:rsidRDefault="004071CA"/>
    <w:sectPr w:rsidR="0040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12EF2"/>
    <w:multiLevelType w:val="hybridMultilevel"/>
    <w:tmpl w:val="C13CA9BE"/>
    <w:lvl w:ilvl="0" w:tplc="448AB02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C71FD"/>
    <w:multiLevelType w:val="hybridMultilevel"/>
    <w:tmpl w:val="716C9A76"/>
    <w:lvl w:ilvl="0" w:tplc="F9DE5828">
      <w:start w:val="1"/>
      <w:numFmt w:val="decimal"/>
      <w:pStyle w:val="Style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A57C4"/>
    <w:multiLevelType w:val="hybridMultilevel"/>
    <w:tmpl w:val="67B60828"/>
    <w:lvl w:ilvl="0" w:tplc="C7547F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532F99"/>
    <w:multiLevelType w:val="hybridMultilevel"/>
    <w:tmpl w:val="76B2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058546">
    <w:abstractNumId w:val="0"/>
  </w:num>
  <w:num w:numId="2" w16cid:durableId="496310199">
    <w:abstractNumId w:val="1"/>
  </w:num>
  <w:num w:numId="3" w16cid:durableId="1905145242">
    <w:abstractNumId w:val="2"/>
  </w:num>
  <w:num w:numId="4" w16cid:durableId="8712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C9"/>
    <w:rsid w:val="00092EC6"/>
    <w:rsid w:val="004071CA"/>
    <w:rsid w:val="00FC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9E6"/>
  <w15:chartTrackingRefBased/>
  <w15:docId w15:val="{8EFBF3A1-7E2B-40C5-A3C6-E8C7D9AA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C9"/>
    <w:pPr>
      <w:spacing w:after="0" w:line="240" w:lineRule="auto"/>
    </w:pPr>
    <w:rPr>
      <w:rFonts w:eastAsiaTheme="minorEastAsia"/>
      <w:kern w:val="0"/>
      <w:sz w:val="24"/>
      <w:szCs w:val="24"/>
      <w14:ligatures w14:val="none"/>
    </w:rPr>
  </w:style>
  <w:style w:type="paragraph" w:styleId="Heading2">
    <w:name w:val="heading 2"/>
    <w:basedOn w:val="Normal"/>
    <w:next w:val="Normal"/>
    <w:link w:val="Heading2Char"/>
    <w:uiPriority w:val="9"/>
    <w:semiHidden/>
    <w:unhideWhenUsed/>
    <w:qFormat/>
    <w:rsid w:val="00092E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092EC6"/>
    <w:pPr>
      <w:keepNext/>
      <w:keepLines/>
      <w:pageBreakBefore/>
      <w:numPr>
        <w:numId w:val="1"/>
      </w:numPr>
      <w:spacing w:before="360" w:after="60" w:line="264" w:lineRule="auto"/>
      <w:outlineLvl w:val="0"/>
    </w:pPr>
    <w:rPr>
      <w:rFonts w:ascii="Cambria" w:eastAsia="Times New Roman" w:hAnsi="Cambria" w:cstheme="majorBidi"/>
      <w:b/>
      <w:color w:val="2F5496" w:themeColor="accent1" w:themeShade="BF"/>
      <w:sz w:val="36"/>
      <w:szCs w:val="32"/>
    </w:rPr>
  </w:style>
  <w:style w:type="paragraph" w:customStyle="1" w:styleId="Style3">
    <w:name w:val="Style3"/>
    <w:basedOn w:val="Heading2"/>
    <w:autoRedefine/>
    <w:qFormat/>
    <w:rsid w:val="00092EC6"/>
    <w:pPr>
      <w:numPr>
        <w:numId w:val="2"/>
      </w:numPr>
      <w:spacing w:before="240" w:after="60" w:line="264" w:lineRule="auto"/>
    </w:pPr>
    <w:rPr>
      <w:rFonts w:ascii="Cambria" w:hAnsi="Cambria"/>
      <w:b/>
      <w:i/>
      <w:sz w:val="32"/>
    </w:rPr>
  </w:style>
  <w:style w:type="character" w:customStyle="1" w:styleId="Heading2Char">
    <w:name w:val="Heading 2 Char"/>
    <w:basedOn w:val="DefaultParagraphFont"/>
    <w:link w:val="Heading2"/>
    <w:uiPriority w:val="9"/>
    <w:semiHidden/>
    <w:rsid w:val="00092E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Blackman</dc:creator>
  <cp:keywords/>
  <dc:description/>
  <cp:lastModifiedBy>Jeanine Blackman</cp:lastModifiedBy>
  <cp:revision>1</cp:revision>
  <dcterms:created xsi:type="dcterms:W3CDTF">2023-06-07T18:57:00Z</dcterms:created>
  <dcterms:modified xsi:type="dcterms:W3CDTF">2023-06-07T18:57:00Z</dcterms:modified>
</cp:coreProperties>
</file>